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A955E9">
        <w:t>reshener Aerosol 750ml/270ml/75ml</w:t>
      </w:r>
    </w:p>
    <w:p w:rsidR="00AD09CC" w:rsidRPr="00390328" w:rsidRDefault="00390328" w:rsidP="00AD09CC">
      <w:pPr>
        <w:spacing w:after="0"/>
      </w:pPr>
      <w:r w:rsidRPr="00390328">
        <w:t>Product No:</w:t>
      </w:r>
      <w:r w:rsidR="00AD09CC" w:rsidRPr="00390328">
        <w:t xml:space="preserve">           </w:t>
      </w:r>
      <w:r w:rsidRPr="00390328">
        <w:tab/>
      </w:r>
      <w:r w:rsidRPr="00390328">
        <w:tab/>
      </w:r>
      <w:r w:rsidR="00F47CE4">
        <w:t>Belgravia - 795139</w:t>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2953"/>
        <w:gridCol w:w="1308"/>
        <w:gridCol w:w="1567"/>
        <w:gridCol w:w="1475"/>
        <w:gridCol w:w="3153"/>
      </w:tblGrid>
      <w:tr w:rsidR="00F55536" w:rsidRPr="00390328" w:rsidTr="00F6207B">
        <w:tc>
          <w:tcPr>
            <w:tcW w:w="2953" w:type="dxa"/>
          </w:tcPr>
          <w:p w:rsidR="00F55536" w:rsidRPr="00390328" w:rsidRDefault="00F55536" w:rsidP="00911CE4">
            <w:pPr>
              <w:jc w:val="center"/>
            </w:pPr>
            <w:r w:rsidRPr="00390328">
              <w:t>Name</w:t>
            </w:r>
          </w:p>
        </w:tc>
        <w:tc>
          <w:tcPr>
            <w:tcW w:w="1308" w:type="dxa"/>
          </w:tcPr>
          <w:p w:rsidR="00F55536" w:rsidRPr="00390328" w:rsidRDefault="00F55536" w:rsidP="00911CE4">
            <w:pPr>
              <w:jc w:val="center"/>
            </w:pPr>
            <w:r w:rsidRPr="00390328">
              <w:t>CAS</w:t>
            </w:r>
          </w:p>
        </w:tc>
        <w:tc>
          <w:tcPr>
            <w:tcW w:w="1567" w:type="dxa"/>
          </w:tcPr>
          <w:p w:rsidR="00F55536" w:rsidRPr="00390328" w:rsidRDefault="00F55536" w:rsidP="00911CE4">
            <w:pPr>
              <w:jc w:val="center"/>
            </w:pPr>
            <w:r w:rsidRPr="00390328">
              <w:t>EC</w:t>
            </w:r>
          </w:p>
        </w:tc>
        <w:tc>
          <w:tcPr>
            <w:tcW w:w="1475" w:type="dxa"/>
          </w:tcPr>
          <w:p w:rsidR="00F55536" w:rsidRPr="00390328" w:rsidRDefault="00F55536" w:rsidP="00911CE4">
            <w:pPr>
              <w:jc w:val="center"/>
            </w:pPr>
            <w:r w:rsidRPr="00390328">
              <w:t>%</w:t>
            </w:r>
          </w:p>
        </w:tc>
        <w:tc>
          <w:tcPr>
            <w:tcW w:w="3153" w:type="dxa"/>
          </w:tcPr>
          <w:p w:rsidR="00F55536" w:rsidRPr="00390328" w:rsidRDefault="00F55536" w:rsidP="00911CE4">
            <w:pPr>
              <w:jc w:val="center"/>
            </w:pPr>
            <w:r w:rsidRPr="00390328">
              <w:t>Classification for (CLP) 1272/2008</w:t>
            </w:r>
          </w:p>
        </w:tc>
      </w:tr>
      <w:tr w:rsidR="00F55536" w:rsidRPr="00390328" w:rsidTr="00F6207B">
        <w:tc>
          <w:tcPr>
            <w:tcW w:w="2953" w:type="dxa"/>
          </w:tcPr>
          <w:p w:rsidR="00F55536" w:rsidRPr="00F47CE4" w:rsidRDefault="00F55536" w:rsidP="00F6207B">
            <w:pPr>
              <w:rPr>
                <w:color w:val="538135" w:themeColor="accent6" w:themeShade="BF"/>
              </w:rPr>
            </w:pPr>
            <w:r w:rsidRPr="00F47CE4">
              <w:rPr>
                <w:color w:val="538135" w:themeColor="accent6" w:themeShade="BF"/>
              </w:rPr>
              <w:t>Petroleum Gases Liquified</w:t>
            </w:r>
          </w:p>
        </w:tc>
        <w:tc>
          <w:tcPr>
            <w:tcW w:w="1308" w:type="dxa"/>
          </w:tcPr>
          <w:p w:rsidR="00F55536" w:rsidRPr="00F47CE4" w:rsidRDefault="00F55536" w:rsidP="00F55536">
            <w:pPr>
              <w:jc w:val="center"/>
              <w:rPr>
                <w:color w:val="538135" w:themeColor="accent6" w:themeShade="BF"/>
              </w:rPr>
            </w:pPr>
            <w:r w:rsidRPr="00F47CE4">
              <w:rPr>
                <w:color w:val="538135" w:themeColor="accent6" w:themeShade="BF"/>
              </w:rPr>
              <w:t>75-09-2</w:t>
            </w:r>
          </w:p>
        </w:tc>
        <w:tc>
          <w:tcPr>
            <w:tcW w:w="1567" w:type="dxa"/>
          </w:tcPr>
          <w:p w:rsidR="00F55536" w:rsidRPr="00F47CE4" w:rsidRDefault="00F55536" w:rsidP="00911CE4">
            <w:pPr>
              <w:jc w:val="center"/>
              <w:rPr>
                <w:color w:val="538135" w:themeColor="accent6" w:themeShade="BF"/>
              </w:rPr>
            </w:pPr>
            <w:r w:rsidRPr="00F47CE4">
              <w:rPr>
                <w:color w:val="538135" w:themeColor="accent6" w:themeShade="BF"/>
              </w:rPr>
              <w:t>270-704-2</w:t>
            </w:r>
          </w:p>
        </w:tc>
        <w:tc>
          <w:tcPr>
            <w:tcW w:w="1475" w:type="dxa"/>
          </w:tcPr>
          <w:p w:rsidR="00F55536" w:rsidRPr="00F47CE4" w:rsidRDefault="00A955E9" w:rsidP="00F55536">
            <w:pPr>
              <w:jc w:val="center"/>
              <w:rPr>
                <w:color w:val="538135" w:themeColor="accent6" w:themeShade="BF"/>
              </w:rPr>
            </w:pPr>
            <w:r w:rsidRPr="00F47CE4">
              <w:rPr>
                <w:color w:val="538135" w:themeColor="accent6" w:themeShade="BF"/>
              </w:rPr>
              <w:t>70-80</w:t>
            </w:r>
            <w:r w:rsidR="00F55536" w:rsidRPr="00F47CE4">
              <w:rPr>
                <w:color w:val="538135" w:themeColor="accent6" w:themeShade="BF"/>
              </w:rPr>
              <w:t>%</w:t>
            </w:r>
          </w:p>
        </w:tc>
        <w:tc>
          <w:tcPr>
            <w:tcW w:w="3153" w:type="dxa"/>
          </w:tcPr>
          <w:p w:rsidR="00F55536" w:rsidRPr="00F47CE4" w:rsidRDefault="00F55536" w:rsidP="00911CE4">
            <w:pPr>
              <w:jc w:val="center"/>
              <w:rPr>
                <w:color w:val="538135" w:themeColor="accent6" w:themeShade="BF"/>
              </w:rPr>
            </w:pPr>
            <w:r w:rsidRPr="00F47CE4">
              <w:rPr>
                <w:color w:val="538135" w:themeColor="accent6" w:themeShade="BF"/>
              </w:rPr>
              <w:t>Flam Gas 1_H220</w:t>
            </w:r>
          </w:p>
        </w:tc>
      </w:tr>
      <w:tr w:rsidR="00F55536" w:rsidRPr="00390328" w:rsidTr="00F6207B">
        <w:tc>
          <w:tcPr>
            <w:tcW w:w="2953" w:type="dxa"/>
          </w:tcPr>
          <w:p w:rsidR="00F55536" w:rsidRPr="00F47CE4" w:rsidRDefault="00F55536" w:rsidP="00911CE4">
            <w:pPr>
              <w:rPr>
                <w:color w:val="538135" w:themeColor="accent6" w:themeShade="BF"/>
              </w:rPr>
            </w:pPr>
            <w:r w:rsidRPr="00F47CE4">
              <w:rPr>
                <w:color w:val="538135" w:themeColor="accent6" w:themeShade="BF"/>
              </w:rPr>
              <w:t>Ethyl alcohol</w:t>
            </w:r>
          </w:p>
        </w:tc>
        <w:tc>
          <w:tcPr>
            <w:tcW w:w="1308" w:type="dxa"/>
          </w:tcPr>
          <w:p w:rsidR="00F55536" w:rsidRPr="00F47CE4" w:rsidRDefault="00F55536" w:rsidP="00F55536">
            <w:pPr>
              <w:jc w:val="center"/>
              <w:rPr>
                <w:color w:val="538135" w:themeColor="accent6" w:themeShade="BF"/>
              </w:rPr>
            </w:pPr>
            <w:r w:rsidRPr="00F47CE4">
              <w:rPr>
                <w:color w:val="538135" w:themeColor="accent6" w:themeShade="BF"/>
              </w:rPr>
              <w:t>64-17-5</w:t>
            </w:r>
          </w:p>
        </w:tc>
        <w:tc>
          <w:tcPr>
            <w:tcW w:w="1567" w:type="dxa"/>
          </w:tcPr>
          <w:p w:rsidR="00F55536" w:rsidRPr="00F47CE4" w:rsidRDefault="00F55536" w:rsidP="00911CE4">
            <w:pPr>
              <w:rPr>
                <w:color w:val="538135" w:themeColor="accent6" w:themeShade="BF"/>
              </w:rPr>
            </w:pPr>
            <w:r w:rsidRPr="00F47CE4">
              <w:rPr>
                <w:color w:val="538135" w:themeColor="accent6" w:themeShade="BF"/>
              </w:rPr>
              <w:t>200-578-6</w:t>
            </w:r>
          </w:p>
        </w:tc>
        <w:tc>
          <w:tcPr>
            <w:tcW w:w="1475" w:type="dxa"/>
          </w:tcPr>
          <w:p w:rsidR="00F55536" w:rsidRPr="00F47CE4" w:rsidRDefault="00A1653F" w:rsidP="00F55536">
            <w:pPr>
              <w:jc w:val="center"/>
              <w:rPr>
                <w:color w:val="538135" w:themeColor="accent6" w:themeShade="BF"/>
              </w:rPr>
            </w:pPr>
            <w:r w:rsidRPr="00F47CE4">
              <w:rPr>
                <w:color w:val="538135" w:themeColor="accent6" w:themeShade="BF"/>
              </w:rPr>
              <w:t>&lt;11.2</w:t>
            </w:r>
            <w:r w:rsidR="00F55536" w:rsidRPr="00F47CE4">
              <w:rPr>
                <w:color w:val="538135" w:themeColor="accent6" w:themeShade="BF"/>
              </w:rPr>
              <w:t>%</w:t>
            </w:r>
          </w:p>
        </w:tc>
        <w:tc>
          <w:tcPr>
            <w:tcW w:w="3153" w:type="dxa"/>
          </w:tcPr>
          <w:p w:rsidR="00F55536" w:rsidRPr="00F47CE4" w:rsidRDefault="00F55536" w:rsidP="00F55536">
            <w:pPr>
              <w:jc w:val="center"/>
              <w:rPr>
                <w:color w:val="538135" w:themeColor="accent6" w:themeShade="BF"/>
              </w:rPr>
            </w:pPr>
            <w:r w:rsidRPr="00F47CE4">
              <w:rPr>
                <w:color w:val="538135" w:themeColor="accent6" w:themeShade="BF"/>
              </w:rPr>
              <w:t xml:space="preserve">FL 2-EDI </w:t>
            </w:r>
            <w:proofErr w:type="gramStart"/>
            <w:r w:rsidRPr="00F47CE4">
              <w:rPr>
                <w:color w:val="538135" w:themeColor="accent6" w:themeShade="BF"/>
              </w:rPr>
              <w:t>2;H</w:t>
            </w:r>
            <w:proofErr w:type="gramEnd"/>
            <w:r w:rsidRPr="00F47CE4">
              <w:rPr>
                <w:color w:val="538135" w:themeColor="accent6" w:themeShade="BF"/>
              </w:rPr>
              <w:t>225-</w:t>
            </w:r>
          </w:p>
          <w:p w:rsidR="00F55536" w:rsidRPr="00F47CE4" w:rsidRDefault="00F55536" w:rsidP="00F55536">
            <w:pPr>
              <w:jc w:val="center"/>
              <w:rPr>
                <w:color w:val="538135" w:themeColor="accent6" w:themeShade="BF"/>
              </w:rPr>
            </w:pPr>
            <w:r w:rsidRPr="00F47CE4">
              <w:rPr>
                <w:color w:val="538135" w:themeColor="accent6" w:themeShade="BF"/>
              </w:rPr>
              <w:t>H</w:t>
            </w:r>
            <w:proofErr w:type="gramStart"/>
            <w:r w:rsidRPr="00F47CE4">
              <w:rPr>
                <w:color w:val="538135" w:themeColor="accent6" w:themeShade="BF"/>
              </w:rPr>
              <w:t>319,-</w:t>
            </w:r>
            <w:proofErr w:type="gramEnd"/>
          </w:p>
        </w:tc>
      </w:tr>
      <w:tr w:rsidR="00F55536" w:rsidRPr="00390328" w:rsidTr="00F6207B">
        <w:tc>
          <w:tcPr>
            <w:tcW w:w="2953" w:type="dxa"/>
          </w:tcPr>
          <w:p w:rsidR="00F55536" w:rsidRPr="00AB5DC0" w:rsidRDefault="00AB5DC0" w:rsidP="00911CE4">
            <w:pPr>
              <w:rPr>
                <w:color w:val="538135" w:themeColor="accent6" w:themeShade="BF"/>
              </w:rPr>
            </w:pPr>
            <w:r>
              <w:rPr>
                <w:color w:val="538135" w:themeColor="accent6" w:themeShade="BF"/>
              </w:rPr>
              <w:t>5-(2,2,3-trimethyl-3-cyclopentenyll-3-methylpentan-2-o1</w:t>
            </w:r>
          </w:p>
        </w:tc>
        <w:tc>
          <w:tcPr>
            <w:tcW w:w="1308" w:type="dxa"/>
          </w:tcPr>
          <w:p w:rsidR="00F55536" w:rsidRPr="00AB5DC0" w:rsidRDefault="00AB5DC0" w:rsidP="00F55536">
            <w:pPr>
              <w:jc w:val="center"/>
              <w:rPr>
                <w:color w:val="538135" w:themeColor="accent6" w:themeShade="BF"/>
              </w:rPr>
            </w:pPr>
            <w:r>
              <w:rPr>
                <w:color w:val="538135" w:themeColor="accent6" w:themeShade="BF"/>
              </w:rPr>
              <w:t>65113-99-7</w:t>
            </w:r>
          </w:p>
        </w:tc>
        <w:tc>
          <w:tcPr>
            <w:tcW w:w="1567" w:type="dxa"/>
          </w:tcPr>
          <w:p w:rsidR="00F55536" w:rsidRPr="00AB5DC0" w:rsidRDefault="00AB5DC0" w:rsidP="00911CE4">
            <w:pPr>
              <w:rPr>
                <w:color w:val="538135" w:themeColor="accent6" w:themeShade="BF"/>
              </w:rPr>
            </w:pPr>
            <w:r>
              <w:rPr>
                <w:color w:val="538135" w:themeColor="accent6" w:themeShade="BF"/>
              </w:rPr>
              <w:t>265-453-0</w:t>
            </w:r>
          </w:p>
        </w:tc>
        <w:tc>
          <w:tcPr>
            <w:tcW w:w="1475" w:type="dxa"/>
          </w:tcPr>
          <w:p w:rsidR="00F55536" w:rsidRPr="00AB5DC0" w:rsidRDefault="00AB5DC0" w:rsidP="00F55536">
            <w:pPr>
              <w:jc w:val="center"/>
              <w:rPr>
                <w:color w:val="538135" w:themeColor="accent6" w:themeShade="BF"/>
              </w:rPr>
            </w:pPr>
            <w:r>
              <w:rPr>
                <w:color w:val="538135" w:themeColor="accent6" w:themeShade="BF"/>
              </w:rPr>
              <w:t>&lt;0.04%</w:t>
            </w:r>
          </w:p>
        </w:tc>
        <w:tc>
          <w:tcPr>
            <w:tcW w:w="3153" w:type="dxa"/>
          </w:tcPr>
          <w:p w:rsidR="00F6207B" w:rsidRPr="00AB5DC0" w:rsidRDefault="00AB5DC0" w:rsidP="00F6207B">
            <w:pPr>
              <w:jc w:val="center"/>
              <w:rPr>
                <w:color w:val="538135" w:themeColor="accent6" w:themeShade="BF"/>
              </w:rPr>
            </w:pPr>
            <w:r>
              <w:rPr>
                <w:color w:val="538135" w:themeColor="accent6" w:themeShade="BF"/>
              </w:rPr>
              <w:t>N; R 50/53</w:t>
            </w:r>
          </w:p>
        </w:tc>
      </w:tr>
      <w:tr w:rsidR="00F55536" w:rsidRPr="00390328" w:rsidTr="00F6207B">
        <w:tc>
          <w:tcPr>
            <w:tcW w:w="2953" w:type="dxa"/>
          </w:tcPr>
          <w:p w:rsidR="00F55536" w:rsidRPr="00AB5DC0" w:rsidRDefault="00AB5DC0" w:rsidP="00911CE4">
            <w:pPr>
              <w:rPr>
                <w:color w:val="538135" w:themeColor="accent6" w:themeShade="BF"/>
              </w:rPr>
            </w:pPr>
            <w:r>
              <w:rPr>
                <w:color w:val="538135" w:themeColor="accent6" w:themeShade="BF"/>
              </w:rPr>
              <w:t>6-octen-1-ol,3,7-dimethyl</w:t>
            </w:r>
          </w:p>
        </w:tc>
        <w:tc>
          <w:tcPr>
            <w:tcW w:w="1308" w:type="dxa"/>
          </w:tcPr>
          <w:p w:rsidR="00F55536" w:rsidRPr="00AB5DC0" w:rsidRDefault="00AB5DC0" w:rsidP="00F55536">
            <w:pPr>
              <w:jc w:val="center"/>
              <w:rPr>
                <w:color w:val="538135" w:themeColor="accent6" w:themeShade="BF"/>
              </w:rPr>
            </w:pPr>
            <w:r>
              <w:rPr>
                <w:color w:val="538135" w:themeColor="accent6" w:themeShade="BF"/>
              </w:rPr>
              <w:t>106-22-9</w:t>
            </w:r>
          </w:p>
        </w:tc>
        <w:tc>
          <w:tcPr>
            <w:tcW w:w="1567" w:type="dxa"/>
          </w:tcPr>
          <w:p w:rsidR="00F55536" w:rsidRPr="00AB5DC0" w:rsidRDefault="00AB5DC0" w:rsidP="00911CE4">
            <w:pPr>
              <w:rPr>
                <w:color w:val="538135" w:themeColor="accent6" w:themeShade="BF"/>
              </w:rPr>
            </w:pPr>
            <w:r>
              <w:rPr>
                <w:color w:val="538135" w:themeColor="accent6" w:themeShade="BF"/>
              </w:rPr>
              <w:t>203-375-0</w:t>
            </w:r>
          </w:p>
        </w:tc>
        <w:tc>
          <w:tcPr>
            <w:tcW w:w="1475" w:type="dxa"/>
          </w:tcPr>
          <w:p w:rsidR="00F55536" w:rsidRPr="00AB5DC0" w:rsidRDefault="00AB5DC0" w:rsidP="00F55536">
            <w:pPr>
              <w:jc w:val="center"/>
              <w:rPr>
                <w:color w:val="538135" w:themeColor="accent6" w:themeShade="BF"/>
              </w:rPr>
            </w:pPr>
            <w:r>
              <w:rPr>
                <w:color w:val="538135" w:themeColor="accent6" w:themeShade="BF"/>
              </w:rPr>
              <w:t>&lt;0.03%</w:t>
            </w:r>
          </w:p>
        </w:tc>
        <w:tc>
          <w:tcPr>
            <w:tcW w:w="3153" w:type="dxa"/>
          </w:tcPr>
          <w:p w:rsidR="00F55536" w:rsidRPr="00AB5DC0" w:rsidRDefault="00AB5DC0" w:rsidP="00F55536">
            <w:pPr>
              <w:jc w:val="center"/>
              <w:rPr>
                <w:color w:val="538135" w:themeColor="accent6" w:themeShade="BF"/>
              </w:rPr>
            </w:pPr>
            <w:r>
              <w:rPr>
                <w:color w:val="538135" w:themeColor="accent6" w:themeShade="BF"/>
              </w:rPr>
              <w:t>Xi-</w:t>
            </w:r>
            <w:proofErr w:type="gramStart"/>
            <w:r>
              <w:rPr>
                <w:color w:val="538135" w:themeColor="accent6" w:themeShade="BF"/>
              </w:rPr>
              <w:t>N;R</w:t>
            </w:r>
            <w:proofErr w:type="gramEnd"/>
            <w:r>
              <w:rPr>
                <w:color w:val="538135" w:themeColor="accent6" w:themeShade="BF"/>
              </w:rPr>
              <w:t xml:space="preserve"> 38-43-51/53</w:t>
            </w:r>
          </w:p>
        </w:tc>
      </w:tr>
      <w:tr w:rsidR="00AA7697" w:rsidRPr="00390328" w:rsidTr="00F6207B">
        <w:tc>
          <w:tcPr>
            <w:tcW w:w="2953" w:type="dxa"/>
          </w:tcPr>
          <w:p w:rsidR="00AA7697" w:rsidRPr="00AB5DC0" w:rsidRDefault="00AB5DC0" w:rsidP="00911CE4">
            <w:pPr>
              <w:rPr>
                <w:color w:val="538135" w:themeColor="accent6" w:themeShade="BF"/>
              </w:rPr>
            </w:pPr>
            <w:r>
              <w:rPr>
                <w:color w:val="538135" w:themeColor="accent6" w:themeShade="BF"/>
              </w:rPr>
              <w:t xml:space="preserve">(L) acetyl </w:t>
            </w:r>
            <w:proofErr w:type="spellStart"/>
            <w:r>
              <w:rPr>
                <w:color w:val="538135" w:themeColor="accent6" w:themeShade="BF"/>
              </w:rPr>
              <w:t>cedrene</w:t>
            </w:r>
            <w:proofErr w:type="spellEnd"/>
          </w:p>
        </w:tc>
        <w:tc>
          <w:tcPr>
            <w:tcW w:w="1308" w:type="dxa"/>
          </w:tcPr>
          <w:p w:rsidR="00AA7697" w:rsidRPr="00AB5DC0" w:rsidRDefault="00B9549D" w:rsidP="00F55536">
            <w:pPr>
              <w:jc w:val="center"/>
              <w:rPr>
                <w:color w:val="538135" w:themeColor="accent6" w:themeShade="BF"/>
              </w:rPr>
            </w:pPr>
            <w:r>
              <w:rPr>
                <w:color w:val="538135" w:themeColor="accent6" w:themeShade="BF"/>
              </w:rPr>
              <w:t>32388-55-9</w:t>
            </w:r>
          </w:p>
        </w:tc>
        <w:tc>
          <w:tcPr>
            <w:tcW w:w="1567" w:type="dxa"/>
          </w:tcPr>
          <w:p w:rsidR="00AA7697" w:rsidRPr="00AB5DC0" w:rsidRDefault="00B9549D" w:rsidP="00911CE4">
            <w:pPr>
              <w:rPr>
                <w:color w:val="538135" w:themeColor="accent6" w:themeShade="BF"/>
              </w:rPr>
            </w:pPr>
            <w:r>
              <w:rPr>
                <w:color w:val="538135" w:themeColor="accent6" w:themeShade="BF"/>
              </w:rPr>
              <w:t>251-020-3</w:t>
            </w:r>
          </w:p>
        </w:tc>
        <w:tc>
          <w:tcPr>
            <w:tcW w:w="1475" w:type="dxa"/>
          </w:tcPr>
          <w:p w:rsidR="00AA7697" w:rsidRPr="00AB5DC0" w:rsidRDefault="00B9549D" w:rsidP="00F55536">
            <w:pPr>
              <w:jc w:val="center"/>
              <w:rPr>
                <w:color w:val="538135" w:themeColor="accent6" w:themeShade="BF"/>
              </w:rPr>
            </w:pPr>
            <w:r>
              <w:rPr>
                <w:color w:val="538135" w:themeColor="accent6" w:themeShade="BF"/>
              </w:rPr>
              <w:t>&lt;0.19%</w:t>
            </w:r>
          </w:p>
        </w:tc>
        <w:tc>
          <w:tcPr>
            <w:tcW w:w="3153" w:type="dxa"/>
          </w:tcPr>
          <w:p w:rsidR="00AA7697" w:rsidRPr="00AB5DC0" w:rsidRDefault="00B9549D" w:rsidP="00F55536">
            <w:pPr>
              <w:jc w:val="center"/>
              <w:rPr>
                <w:color w:val="538135" w:themeColor="accent6" w:themeShade="BF"/>
              </w:rPr>
            </w:pPr>
            <w:r>
              <w:rPr>
                <w:color w:val="538135" w:themeColor="accent6" w:themeShade="BF"/>
              </w:rPr>
              <w:t>Xi-N; R 43-50/53</w:t>
            </w:r>
          </w:p>
        </w:tc>
      </w:tr>
      <w:tr w:rsidR="00AA7697" w:rsidRPr="00390328" w:rsidTr="00F6207B">
        <w:tc>
          <w:tcPr>
            <w:tcW w:w="2953" w:type="dxa"/>
          </w:tcPr>
          <w:p w:rsidR="00AA7697" w:rsidRPr="00AB5DC0" w:rsidRDefault="00B9549D" w:rsidP="00911CE4">
            <w:pPr>
              <w:rPr>
                <w:color w:val="538135" w:themeColor="accent6" w:themeShade="BF"/>
              </w:rPr>
            </w:pPr>
            <w:r>
              <w:rPr>
                <w:color w:val="538135" w:themeColor="accent6" w:themeShade="BF"/>
              </w:rPr>
              <w:t>d-para-mentha-1,8-diene</w:t>
            </w:r>
          </w:p>
        </w:tc>
        <w:tc>
          <w:tcPr>
            <w:tcW w:w="1308" w:type="dxa"/>
          </w:tcPr>
          <w:p w:rsidR="00AA7697" w:rsidRPr="00AB5DC0" w:rsidRDefault="00B9549D" w:rsidP="00F55536">
            <w:pPr>
              <w:jc w:val="center"/>
              <w:rPr>
                <w:color w:val="538135" w:themeColor="accent6" w:themeShade="BF"/>
              </w:rPr>
            </w:pPr>
            <w:r>
              <w:rPr>
                <w:color w:val="538135" w:themeColor="accent6" w:themeShade="BF"/>
              </w:rPr>
              <w:t>5989-27-5</w:t>
            </w:r>
          </w:p>
        </w:tc>
        <w:tc>
          <w:tcPr>
            <w:tcW w:w="1567" w:type="dxa"/>
          </w:tcPr>
          <w:p w:rsidR="00AA7697" w:rsidRPr="00AB5DC0" w:rsidRDefault="00B9549D" w:rsidP="00911CE4">
            <w:pPr>
              <w:rPr>
                <w:color w:val="538135" w:themeColor="accent6" w:themeShade="BF"/>
              </w:rPr>
            </w:pPr>
            <w:r>
              <w:rPr>
                <w:color w:val="538135" w:themeColor="accent6" w:themeShade="BF"/>
              </w:rPr>
              <w:t>-</w:t>
            </w:r>
          </w:p>
        </w:tc>
        <w:tc>
          <w:tcPr>
            <w:tcW w:w="1475" w:type="dxa"/>
          </w:tcPr>
          <w:p w:rsidR="00AA7697" w:rsidRPr="00AB5DC0" w:rsidRDefault="00B9549D" w:rsidP="00F55536">
            <w:pPr>
              <w:jc w:val="center"/>
              <w:rPr>
                <w:color w:val="538135" w:themeColor="accent6" w:themeShade="BF"/>
              </w:rPr>
            </w:pPr>
            <w:r>
              <w:rPr>
                <w:color w:val="538135" w:themeColor="accent6" w:themeShade="BF"/>
              </w:rPr>
              <w:t>&lt;0.04%</w:t>
            </w:r>
          </w:p>
        </w:tc>
        <w:tc>
          <w:tcPr>
            <w:tcW w:w="3153" w:type="dxa"/>
          </w:tcPr>
          <w:p w:rsidR="00201A46" w:rsidRPr="00AB5DC0" w:rsidRDefault="00B9549D" w:rsidP="00201A46">
            <w:pPr>
              <w:jc w:val="center"/>
              <w:rPr>
                <w:color w:val="538135" w:themeColor="accent6" w:themeShade="BF"/>
              </w:rPr>
            </w:pPr>
            <w:r>
              <w:rPr>
                <w:color w:val="538135" w:themeColor="accent6" w:themeShade="BF"/>
              </w:rPr>
              <w:t>Xi</w:t>
            </w:r>
            <w:proofErr w:type="gramStart"/>
            <w:r>
              <w:rPr>
                <w:color w:val="538135" w:themeColor="accent6" w:themeShade="BF"/>
              </w:rPr>
              <w:t>-?N</w:t>
            </w:r>
            <w:proofErr w:type="gramEnd"/>
            <w:r>
              <w:rPr>
                <w:color w:val="538135" w:themeColor="accent6" w:themeShade="BF"/>
              </w:rPr>
              <w:t>; R 10-38-43-50/53-65</w:t>
            </w:r>
          </w:p>
        </w:tc>
      </w:tr>
      <w:tr w:rsidR="00424599" w:rsidRPr="00390328" w:rsidTr="00F6207B">
        <w:tc>
          <w:tcPr>
            <w:tcW w:w="2953" w:type="dxa"/>
          </w:tcPr>
          <w:p w:rsidR="00424599" w:rsidRPr="00AB5DC0" w:rsidRDefault="00B9549D" w:rsidP="00911CE4">
            <w:pPr>
              <w:rPr>
                <w:color w:val="538135" w:themeColor="accent6" w:themeShade="BF"/>
              </w:rPr>
            </w:pPr>
            <w:r>
              <w:rPr>
                <w:color w:val="538135" w:themeColor="accent6" w:themeShade="BF"/>
              </w:rPr>
              <w:t>Linalyl acetate</w:t>
            </w:r>
          </w:p>
        </w:tc>
        <w:tc>
          <w:tcPr>
            <w:tcW w:w="1308" w:type="dxa"/>
          </w:tcPr>
          <w:p w:rsidR="00424599" w:rsidRPr="00AB5DC0" w:rsidRDefault="00B9549D" w:rsidP="00F55536">
            <w:pPr>
              <w:jc w:val="center"/>
              <w:rPr>
                <w:color w:val="538135" w:themeColor="accent6" w:themeShade="BF"/>
              </w:rPr>
            </w:pPr>
            <w:r>
              <w:rPr>
                <w:color w:val="538135" w:themeColor="accent6" w:themeShade="BF"/>
              </w:rPr>
              <w:t>116-95-7</w:t>
            </w:r>
          </w:p>
        </w:tc>
        <w:tc>
          <w:tcPr>
            <w:tcW w:w="1567" w:type="dxa"/>
          </w:tcPr>
          <w:p w:rsidR="00424599" w:rsidRPr="00AB5DC0" w:rsidRDefault="00B9549D" w:rsidP="00911CE4">
            <w:pPr>
              <w:rPr>
                <w:color w:val="538135" w:themeColor="accent6" w:themeShade="BF"/>
              </w:rPr>
            </w:pPr>
            <w:r>
              <w:rPr>
                <w:color w:val="538135" w:themeColor="accent6" w:themeShade="BF"/>
              </w:rPr>
              <w:t>204-116-4</w:t>
            </w:r>
          </w:p>
        </w:tc>
        <w:tc>
          <w:tcPr>
            <w:tcW w:w="1475" w:type="dxa"/>
          </w:tcPr>
          <w:p w:rsidR="00424599" w:rsidRPr="00AB5DC0" w:rsidRDefault="00B9549D" w:rsidP="00F55536">
            <w:pPr>
              <w:jc w:val="center"/>
              <w:rPr>
                <w:color w:val="538135" w:themeColor="accent6" w:themeShade="BF"/>
              </w:rPr>
            </w:pPr>
            <w:r>
              <w:rPr>
                <w:color w:val="538135" w:themeColor="accent6" w:themeShade="BF"/>
              </w:rPr>
              <w:t>&lt;0.18%</w:t>
            </w:r>
          </w:p>
        </w:tc>
        <w:tc>
          <w:tcPr>
            <w:tcW w:w="3153" w:type="dxa"/>
          </w:tcPr>
          <w:p w:rsidR="00201A46" w:rsidRPr="00AB5DC0" w:rsidRDefault="00B9549D" w:rsidP="00201A46">
            <w:pPr>
              <w:jc w:val="center"/>
              <w:rPr>
                <w:color w:val="538135" w:themeColor="accent6" w:themeShade="BF"/>
              </w:rPr>
            </w:pPr>
            <w:r>
              <w:rPr>
                <w:color w:val="538135" w:themeColor="accent6" w:themeShade="BF"/>
              </w:rPr>
              <w:t>N; R 51/53</w:t>
            </w: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lastRenderedPageBreak/>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 xml:space="preserve">1000 </w:t>
            </w:r>
            <w:proofErr w:type="gramStart"/>
            <w:r>
              <w:t>ppm(</w:t>
            </w:r>
            <w:proofErr w:type="spellStart"/>
            <w:proofErr w:type="gramEnd"/>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 xml:space="preserve">Section </w:t>
      </w:r>
      <w:proofErr w:type="gramStart"/>
      <w:r w:rsidRPr="00800DAC">
        <w:rPr>
          <w:b/>
          <w:highlight w:val="lightGray"/>
          <w:u w:val="single"/>
        </w:rPr>
        <w:t>10.Stability</w:t>
      </w:r>
      <w:proofErr w:type="gramEnd"/>
      <w:r w:rsidRPr="00800DAC">
        <w:rPr>
          <w:b/>
          <w:highlight w:val="lightGray"/>
          <w:u w:val="single"/>
        </w:rPr>
        <w:t xml:space="preserve">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lastRenderedPageBreak/>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t>Guidance notes</w:t>
      </w:r>
    </w:p>
    <w:p w:rsidR="002656A5" w:rsidRDefault="002656A5" w:rsidP="002656A5">
      <w:pPr>
        <w:spacing w:after="0"/>
      </w:pPr>
      <w:r>
        <w:t xml:space="preserve">Workplace exposure limits EH40. Introduction to Local exhaust ventilation HS(G)37. CHIP for everyone HSG(108). </w:t>
      </w:r>
    </w:p>
    <w:p w:rsidR="002656A5" w:rsidRDefault="002656A5" w:rsidP="002656A5">
      <w:pPr>
        <w:spacing w:after="0"/>
      </w:pPr>
      <w:r>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F23833">
        <w:rPr>
          <w:b/>
        </w:rPr>
        <w:t>MAY 202</w:t>
      </w:r>
      <w:r w:rsidR="00B62EF7">
        <w:rPr>
          <w:b/>
        </w:rPr>
        <w:t>4</w:t>
      </w:r>
    </w:p>
    <w:p w:rsidR="0001344B" w:rsidRPr="002A67E5" w:rsidRDefault="00BB7CF4" w:rsidP="00256DB0">
      <w:pPr>
        <w:spacing w:after="0"/>
        <w:rPr>
          <w:b/>
        </w:rPr>
      </w:pPr>
      <w:r>
        <w:rPr>
          <w:b/>
        </w:rPr>
        <w:t>REVIEW DATE:</w:t>
      </w:r>
      <w:r>
        <w:rPr>
          <w:b/>
        </w:rPr>
        <w:tab/>
      </w:r>
      <w:r>
        <w:rPr>
          <w:b/>
        </w:rPr>
        <w:tab/>
      </w:r>
      <w:r w:rsidR="00F23833">
        <w:rPr>
          <w:b/>
        </w:rPr>
        <w:t>MAY 202</w:t>
      </w:r>
      <w:r w:rsidR="00B62EF7">
        <w:rPr>
          <w:b/>
        </w:rPr>
        <w:t>5</w:t>
      </w:r>
      <w:bookmarkStart w:id="0" w:name="_GoBack"/>
      <w:bookmarkEnd w:id="0"/>
    </w:p>
    <w:p w:rsidR="0001344B" w:rsidRPr="002A67E5" w:rsidRDefault="0001344B"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5E1" w:rsidRDefault="000E15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7675819"/>
      <w:docPartObj>
        <w:docPartGallery w:val="Page Numbers (Bottom of Page)"/>
        <w:docPartUnique/>
      </w:docPartObj>
    </w:sdtPr>
    <w:sdtEndPr/>
    <w:sdtContent>
      <w:sdt>
        <w:sdtPr>
          <w:id w:val="-1769616900"/>
          <w:docPartObj>
            <w:docPartGallery w:val="Page Numbers (Top of Page)"/>
            <w:docPartUnique/>
          </w:docPartObj>
        </w:sdtPr>
        <w:sdtEndPr/>
        <w:sdtContent>
          <w:p w:rsidR="000E15E1" w:rsidRDefault="000E15E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23833">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23833">
              <w:rPr>
                <w:b/>
                <w:bCs/>
                <w:noProof/>
              </w:rPr>
              <w:t>7</w:t>
            </w:r>
            <w:r>
              <w:rPr>
                <w:b/>
                <w:bCs/>
                <w:sz w:val="24"/>
                <w:szCs w:val="24"/>
              </w:rPr>
              <w:fldChar w:fldCharType="end"/>
            </w:r>
          </w:p>
        </w:sdtContent>
      </w:sdt>
    </w:sdtContent>
  </w:sdt>
  <w:p w:rsidR="002A67E5" w:rsidRDefault="002A67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5E1" w:rsidRDefault="000E1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5E1" w:rsidRDefault="000E15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5E1" w:rsidRDefault="000E15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1344B"/>
    <w:rsid w:val="0001698F"/>
    <w:rsid w:val="000D4332"/>
    <w:rsid w:val="000E15E1"/>
    <w:rsid w:val="001E2D53"/>
    <w:rsid w:val="00201A46"/>
    <w:rsid w:val="002234B3"/>
    <w:rsid w:val="00256DB0"/>
    <w:rsid w:val="002656A5"/>
    <w:rsid w:val="0027010B"/>
    <w:rsid w:val="002718E0"/>
    <w:rsid w:val="002815AB"/>
    <w:rsid w:val="002A67E5"/>
    <w:rsid w:val="002C1515"/>
    <w:rsid w:val="002E7332"/>
    <w:rsid w:val="00302FC9"/>
    <w:rsid w:val="0030729D"/>
    <w:rsid w:val="00343A93"/>
    <w:rsid w:val="00390249"/>
    <w:rsid w:val="00390328"/>
    <w:rsid w:val="0039495E"/>
    <w:rsid w:val="00424599"/>
    <w:rsid w:val="004565F7"/>
    <w:rsid w:val="00464B19"/>
    <w:rsid w:val="00475CAB"/>
    <w:rsid w:val="004E33C4"/>
    <w:rsid w:val="00515BAD"/>
    <w:rsid w:val="00535CBF"/>
    <w:rsid w:val="005C7051"/>
    <w:rsid w:val="006973C0"/>
    <w:rsid w:val="006C320D"/>
    <w:rsid w:val="00750DEE"/>
    <w:rsid w:val="00791E41"/>
    <w:rsid w:val="007C3C9B"/>
    <w:rsid w:val="00800DAC"/>
    <w:rsid w:val="00825007"/>
    <w:rsid w:val="008307EC"/>
    <w:rsid w:val="008350CC"/>
    <w:rsid w:val="008A67C8"/>
    <w:rsid w:val="008F5BD4"/>
    <w:rsid w:val="00911CE4"/>
    <w:rsid w:val="009245B5"/>
    <w:rsid w:val="00944AE2"/>
    <w:rsid w:val="00970D49"/>
    <w:rsid w:val="009C4AB9"/>
    <w:rsid w:val="009D2E92"/>
    <w:rsid w:val="00A1653F"/>
    <w:rsid w:val="00A21378"/>
    <w:rsid w:val="00A2269E"/>
    <w:rsid w:val="00A77B4C"/>
    <w:rsid w:val="00A955E9"/>
    <w:rsid w:val="00AA7697"/>
    <w:rsid w:val="00AB5DC0"/>
    <w:rsid w:val="00AD09CC"/>
    <w:rsid w:val="00B00AF6"/>
    <w:rsid w:val="00B62EF7"/>
    <w:rsid w:val="00B9549D"/>
    <w:rsid w:val="00BB7CF4"/>
    <w:rsid w:val="00BE78A8"/>
    <w:rsid w:val="00C57537"/>
    <w:rsid w:val="00CA0F7C"/>
    <w:rsid w:val="00DD7B5E"/>
    <w:rsid w:val="00E33240"/>
    <w:rsid w:val="00EA25FC"/>
    <w:rsid w:val="00EE7EB3"/>
    <w:rsid w:val="00F17DEB"/>
    <w:rsid w:val="00F23833"/>
    <w:rsid w:val="00F26D73"/>
    <w:rsid w:val="00F47CE4"/>
    <w:rsid w:val="00F53DAD"/>
    <w:rsid w:val="00F55536"/>
    <w:rsid w:val="00F6207B"/>
    <w:rsid w:val="00F87F1B"/>
    <w:rsid w:val="00FC7C69"/>
    <w:rsid w:val="00FD0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C777924"/>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F457E-9838-4F7A-98D2-D93F47F03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10</cp:revision>
  <cp:lastPrinted>2014-07-28T13:36:00Z</cp:lastPrinted>
  <dcterms:created xsi:type="dcterms:W3CDTF">2014-07-29T08:37:00Z</dcterms:created>
  <dcterms:modified xsi:type="dcterms:W3CDTF">2024-04-15T12:19:00Z</dcterms:modified>
</cp:coreProperties>
</file>