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4D445E">
        <w:t>reshener Aerosol 750ml/270ml/100</w:t>
      </w:r>
      <w:r w:rsidR="00A955E9">
        <w:t>ml</w:t>
      </w:r>
    </w:p>
    <w:p w:rsidR="00AD09CC" w:rsidRPr="00390328" w:rsidRDefault="00390328" w:rsidP="00AD09CC">
      <w:pPr>
        <w:spacing w:after="0"/>
      </w:pPr>
      <w:r w:rsidRPr="00390328">
        <w:t>Product No:</w:t>
      </w:r>
      <w:r w:rsidR="00AD09CC" w:rsidRPr="00390328">
        <w:t xml:space="preserve">           </w:t>
      </w:r>
      <w:r w:rsidRPr="00390328">
        <w:tab/>
      </w:r>
      <w:r w:rsidRPr="00390328">
        <w:tab/>
      </w:r>
      <w:r w:rsidR="00274BB9">
        <w:t>Mandarin - 796431</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306"/>
        <w:gridCol w:w="1375"/>
        <w:gridCol w:w="1700"/>
        <w:gridCol w:w="1560"/>
        <w:gridCol w:w="3402"/>
      </w:tblGrid>
      <w:tr w:rsidR="00F55536" w:rsidRPr="00390328" w:rsidTr="00F55536">
        <w:tc>
          <w:tcPr>
            <w:tcW w:w="2306" w:type="dxa"/>
          </w:tcPr>
          <w:p w:rsidR="00F55536" w:rsidRPr="00390328" w:rsidRDefault="00F55536" w:rsidP="00911CE4">
            <w:pPr>
              <w:jc w:val="center"/>
            </w:pPr>
            <w:r w:rsidRPr="00390328">
              <w:t>Name</w:t>
            </w:r>
          </w:p>
        </w:tc>
        <w:tc>
          <w:tcPr>
            <w:tcW w:w="1375" w:type="dxa"/>
          </w:tcPr>
          <w:p w:rsidR="00F55536" w:rsidRPr="00390328" w:rsidRDefault="00F55536" w:rsidP="00911CE4">
            <w:pPr>
              <w:jc w:val="center"/>
            </w:pPr>
            <w:r w:rsidRPr="00390328">
              <w:t>CAS</w:t>
            </w:r>
          </w:p>
        </w:tc>
        <w:tc>
          <w:tcPr>
            <w:tcW w:w="1700" w:type="dxa"/>
          </w:tcPr>
          <w:p w:rsidR="00F55536" w:rsidRPr="00390328" w:rsidRDefault="00F55536" w:rsidP="00911CE4">
            <w:pPr>
              <w:jc w:val="center"/>
            </w:pPr>
            <w:r w:rsidRPr="00390328">
              <w:t>EC</w:t>
            </w:r>
          </w:p>
        </w:tc>
        <w:tc>
          <w:tcPr>
            <w:tcW w:w="1560" w:type="dxa"/>
          </w:tcPr>
          <w:p w:rsidR="00F55536" w:rsidRPr="00390328" w:rsidRDefault="00F55536" w:rsidP="00911CE4">
            <w:pPr>
              <w:jc w:val="center"/>
            </w:pPr>
            <w:r w:rsidRPr="00390328">
              <w:t>%</w:t>
            </w:r>
          </w:p>
        </w:tc>
        <w:tc>
          <w:tcPr>
            <w:tcW w:w="3402" w:type="dxa"/>
          </w:tcPr>
          <w:p w:rsidR="00F55536" w:rsidRPr="00390328" w:rsidRDefault="00F55536" w:rsidP="00911CE4">
            <w:pPr>
              <w:jc w:val="center"/>
            </w:pPr>
            <w:r w:rsidRPr="00390328">
              <w:t>Classification for (CLP) 1272/2008</w:t>
            </w:r>
          </w:p>
        </w:tc>
      </w:tr>
      <w:tr w:rsidR="00F55536" w:rsidRPr="00390328" w:rsidTr="00F55536">
        <w:tc>
          <w:tcPr>
            <w:tcW w:w="2306" w:type="dxa"/>
          </w:tcPr>
          <w:p w:rsidR="00F55536" w:rsidRPr="00390328" w:rsidRDefault="00F55536" w:rsidP="00911CE4">
            <w:pPr>
              <w:jc w:val="center"/>
            </w:pPr>
            <w:r>
              <w:t>Petroleum Gases Liquified</w:t>
            </w:r>
          </w:p>
        </w:tc>
        <w:tc>
          <w:tcPr>
            <w:tcW w:w="1375" w:type="dxa"/>
          </w:tcPr>
          <w:p w:rsidR="00F55536" w:rsidRPr="00390328" w:rsidRDefault="00F55536" w:rsidP="00F55536">
            <w:pPr>
              <w:jc w:val="center"/>
            </w:pPr>
            <w:r>
              <w:t>75-09-2</w:t>
            </w:r>
          </w:p>
        </w:tc>
        <w:tc>
          <w:tcPr>
            <w:tcW w:w="1700" w:type="dxa"/>
          </w:tcPr>
          <w:p w:rsidR="00F55536" w:rsidRPr="00390328" w:rsidRDefault="00F55536" w:rsidP="00911CE4">
            <w:pPr>
              <w:jc w:val="center"/>
            </w:pPr>
            <w:r>
              <w:t>270-704-2</w:t>
            </w:r>
          </w:p>
        </w:tc>
        <w:tc>
          <w:tcPr>
            <w:tcW w:w="1560" w:type="dxa"/>
          </w:tcPr>
          <w:p w:rsidR="00F55536" w:rsidRPr="00390328" w:rsidRDefault="00A955E9" w:rsidP="00F55536">
            <w:pPr>
              <w:jc w:val="center"/>
            </w:pPr>
            <w:r>
              <w:t>70-80</w:t>
            </w:r>
            <w:r w:rsidR="00F55536">
              <w:t>%</w:t>
            </w:r>
          </w:p>
        </w:tc>
        <w:tc>
          <w:tcPr>
            <w:tcW w:w="3402" w:type="dxa"/>
          </w:tcPr>
          <w:p w:rsidR="00F55536" w:rsidRPr="00390328" w:rsidRDefault="00F55536" w:rsidP="00911CE4">
            <w:pPr>
              <w:jc w:val="center"/>
            </w:pPr>
            <w:r>
              <w:t>Flam Gas 1_H220</w:t>
            </w:r>
          </w:p>
        </w:tc>
      </w:tr>
      <w:tr w:rsidR="00F55536" w:rsidRPr="00390328" w:rsidTr="00F55536">
        <w:tc>
          <w:tcPr>
            <w:tcW w:w="2306" w:type="dxa"/>
          </w:tcPr>
          <w:p w:rsidR="00F55536" w:rsidRPr="00390328" w:rsidRDefault="00F55536" w:rsidP="00911CE4">
            <w:r w:rsidRPr="00390328">
              <w:t>Ethyl alcohol</w:t>
            </w:r>
          </w:p>
        </w:tc>
        <w:tc>
          <w:tcPr>
            <w:tcW w:w="1375" w:type="dxa"/>
          </w:tcPr>
          <w:p w:rsidR="00F55536" w:rsidRPr="00390328" w:rsidRDefault="00F55536" w:rsidP="00F55536">
            <w:pPr>
              <w:jc w:val="center"/>
            </w:pPr>
            <w:r w:rsidRPr="00390328">
              <w:t>64-17-5</w:t>
            </w:r>
          </w:p>
        </w:tc>
        <w:tc>
          <w:tcPr>
            <w:tcW w:w="1700" w:type="dxa"/>
          </w:tcPr>
          <w:p w:rsidR="00F55536" w:rsidRPr="00390328" w:rsidRDefault="00F55536" w:rsidP="00911CE4">
            <w:r w:rsidRPr="00390328">
              <w:t>200-578-6</w:t>
            </w:r>
          </w:p>
        </w:tc>
        <w:tc>
          <w:tcPr>
            <w:tcW w:w="1560" w:type="dxa"/>
          </w:tcPr>
          <w:p w:rsidR="00F55536" w:rsidRPr="00390328" w:rsidRDefault="008A30F7" w:rsidP="00F55536">
            <w:pPr>
              <w:jc w:val="center"/>
            </w:pPr>
            <w:r>
              <w:t>&lt;11.8</w:t>
            </w:r>
            <w:r w:rsidR="00F55536">
              <w:t>%</w:t>
            </w:r>
          </w:p>
        </w:tc>
        <w:tc>
          <w:tcPr>
            <w:tcW w:w="3402" w:type="dxa"/>
          </w:tcPr>
          <w:p w:rsidR="00F55536" w:rsidRDefault="00F55536" w:rsidP="00F55536">
            <w:pPr>
              <w:jc w:val="center"/>
            </w:pPr>
            <w:r w:rsidRPr="00390328">
              <w:t xml:space="preserve">FL 2-EDI </w:t>
            </w:r>
            <w:proofErr w:type="gramStart"/>
            <w:r w:rsidRPr="00390328">
              <w:t>2;H</w:t>
            </w:r>
            <w:proofErr w:type="gramEnd"/>
            <w:r w:rsidRPr="00390328">
              <w:t>225-</w:t>
            </w:r>
          </w:p>
          <w:p w:rsidR="00F55536" w:rsidRPr="00390328" w:rsidRDefault="00F55536" w:rsidP="00F55536">
            <w:pPr>
              <w:jc w:val="center"/>
            </w:pPr>
            <w:r w:rsidRPr="00390328">
              <w:t>H</w:t>
            </w:r>
            <w:proofErr w:type="gramStart"/>
            <w:r w:rsidRPr="00390328">
              <w:t>319,-</w:t>
            </w:r>
            <w:proofErr w:type="gramEnd"/>
          </w:p>
        </w:tc>
      </w:tr>
      <w:tr w:rsidR="00F55536" w:rsidRPr="00390328" w:rsidTr="00F55536">
        <w:tc>
          <w:tcPr>
            <w:tcW w:w="2306" w:type="dxa"/>
          </w:tcPr>
          <w:p w:rsidR="00F55536" w:rsidRPr="00390328" w:rsidRDefault="00274BB9" w:rsidP="00911CE4">
            <w:r>
              <w:t>7-octen-2-o</w:t>
            </w:r>
            <w:proofErr w:type="gramStart"/>
            <w:r>
              <w:t>1,  2</w:t>
            </w:r>
            <w:proofErr w:type="gramEnd"/>
            <w:r>
              <w:t>,6 dimethyl-</w:t>
            </w:r>
          </w:p>
        </w:tc>
        <w:tc>
          <w:tcPr>
            <w:tcW w:w="1375" w:type="dxa"/>
          </w:tcPr>
          <w:p w:rsidR="00F55536" w:rsidRPr="00390328" w:rsidRDefault="00274BB9" w:rsidP="00F55536">
            <w:pPr>
              <w:jc w:val="center"/>
            </w:pPr>
            <w:r>
              <w:t>18479-58-8</w:t>
            </w:r>
          </w:p>
        </w:tc>
        <w:tc>
          <w:tcPr>
            <w:tcW w:w="1700" w:type="dxa"/>
          </w:tcPr>
          <w:p w:rsidR="00F55536" w:rsidRPr="00390328" w:rsidRDefault="00274BB9" w:rsidP="00911CE4">
            <w:r>
              <w:t>242-362-4</w:t>
            </w:r>
          </w:p>
        </w:tc>
        <w:tc>
          <w:tcPr>
            <w:tcW w:w="1560" w:type="dxa"/>
          </w:tcPr>
          <w:p w:rsidR="00F55536" w:rsidRPr="00390328" w:rsidRDefault="008A30F7" w:rsidP="00F55536">
            <w:pPr>
              <w:jc w:val="center"/>
            </w:pPr>
            <w:r>
              <w:t>&lt;0.25</w:t>
            </w:r>
            <w:r w:rsidR="00274BB9">
              <w:t>%</w:t>
            </w:r>
          </w:p>
        </w:tc>
        <w:tc>
          <w:tcPr>
            <w:tcW w:w="3402" w:type="dxa"/>
          </w:tcPr>
          <w:p w:rsidR="00F55536" w:rsidRPr="00390328" w:rsidRDefault="00274BB9" w:rsidP="00F55536">
            <w:pPr>
              <w:jc w:val="center"/>
            </w:pPr>
            <w:r>
              <w:t>Xi; R 38</w:t>
            </w:r>
          </w:p>
        </w:tc>
      </w:tr>
      <w:tr w:rsidR="00F55536" w:rsidRPr="00390328" w:rsidTr="00F55536">
        <w:tc>
          <w:tcPr>
            <w:tcW w:w="2306" w:type="dxa"/>
          </w:tcPr>
          <w:p w:rsidR="00F55536" w:rsidRPr="00390328" w:rsidRDefault="00274BB9" w:rsidP="00911CE4">
            <w:r>
              <w:t>(L) d-para-Mentha-1, 8- Diene</w:t>
            </w:r>
          </w:p>
        </w:tc>
        <w:tc>
          <w:tcPr>
            <w:tcW w:w="1375" w:type="dxa"/>
          </w:tcPr>
          <w:p w:rsidR="00F55536" w:rsidRPr="00390328" w:rsidRDefault="00274BB9" w:rsidP="00F55536">
            <w:pPr>
              <w:jc w:val="center"/>
            </w:pPr>
            <w:r>
              <w:t>5989-27-5</w:t>
            </w:r>
          </w:p>
        </w:tc>
        <w:tc>
          <w:tcPr>
            <w:tcW w:w="1700" w:type="dxa"/>
          </w:tcPr>
          <w:p w:rsidR="00F55536" w:rsidRPr="00390328" w:rsidRDefault="00274BB9" w:rsidP="00911CE4">
            <w:r>
              <w:t>227-813-5</w:t>
            </w:r>
          </w:p>
        </w:tc>
        <w:tc>
          <w:tcPr>
            <w:tcW w:w="1560" w:type="dxa"/>
          </w:tcPr>
          <w:p w:rsidR="00F55536" w:rsidRPr="00390328" w:rsidRDefault="008A30F7" w:rsidP="00F55536">
            <w:pPr>
              <w:jc w:val="center"/>
            </w:pPr>
            <w:r>
              <w:t>&lt;1.75</w:t>
            </w:r>
            <w:r w:rsidR="00274BB9">
              <w:t>%</w:t>
            </w:r>
          </w:p>
        </w:tc>
        <w:tc>
          <w:tcPr>
            <w:tcW w:w="3402" w:type="dxa"/>
          </w:tcPr>
          <w:p w:rsidR="00F55536" w:rsidRPr="00390328" w:rsidRDefault="00274BB9" w:rsidP="00F55536">
            <w:pPr>
              <w:jc w:val="center"/>
            </w:pPr>
            <w:r>
              <w:t>Xi-N; R 10-38-43-50/53-65</w:t>
            </w:r>
          </w:p>
        </w:tc>
      </w:tr>
      <w:tr w:rsidR="00F55536" w:rsidRPr="00390328" w:rsidTr="00F55536">
        <w:tc>
          <w:tcPr>
            <w:tcW w:w="2306" w:type="dxa"/>
          </w:tcPr>
          <w:p w:rsidR="00F55536" w:rsidRPr="00390328" w:rsidRDefault="00274BB9" w:rsidP="00911CE4">
            <w:r>
              <w:t>IONONE BETA</w:t>
            </w:r>
          </w:p>
        </w:tc>
        <w:tc>
          <w:tcPr>
            <w:tcW w:w="1375" w:type="dxa"/>
          </w:tcPr>
          <w:p w:rsidR="00F55536" w:rsidRPr="00390328" w:rsidRDefault="00274BB9" w:rsidP="00F55536">
            <w:pPr>
              <w:jc w:val="center"/>
            </w:pPr>
            <w:r>
              <w:t>14901-07-6</w:t>
            </w:r>
          </w:p>
        </w:tc>
        <w:tc>
          <w:tcPr>
            <w:tcW w:w="1700" w:type="dxa"/>
          </w:tcPr>
          <w:p w:rsidR="00F55536" w:rsidRPr="00390328" w:rsidRDefault="00274BB9" w:rsidP="00911CE4">
            <w:r>
              <w:t>238-969-9</w:t>
            </w:r>
          </w:p>
        </w:tc>
        <w:tc>
          <w:tcPr>
            <w:tcW w:w="1560" w:type="dxa"/>
          </w:tcPr>
          <w:p w:rsidR="00F55536" w:rsidRPr="00390328" w:rsidRDefault="008A30F7" w:rsidP="00F55536">
            <w:pPr>
              <w:jc w:val="center"/>
            </w:pPr>
            <w:r>
              <w:t>&lt;0.04</w:t>
            </w:r>
            <w:r w:rsidR="00274BB9">
              <w:t>%</w:t>
            </w:r>
          </w:p>
        </w:tc>
        <w:tc>
          <w:tcPr>
            <w:tcW w:w="3402" w:type="dxa"/>
          </w:tcPr>
          <w:p w:rsidR="00F55536" w:rsidRPr="00390328" w:rsidRDefault="00274BB9" w:rsidP="00F55536">
            <w:pPr>
              <w:jc w:val="center"/>
            </w:pPr>
            <w:r>
              <w:t>N; R 51/53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FD0A1A" w:rsidRDefault="00FD0A1A" w:rsidP="0039495E">
      <w:pPr>
        <w:spacing w:after="0"/>
      </w:pP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8C6F2A">
        <w:rPr>
          <w:b/>
        </w:rPr>
        <w:t>MAY 202</w:t>
      </w:r>
      <w:r w:rsidR="002262C8">
        <w:rPr>
          <w:b/>
        </w:rPr>
        <w:t>4</w:t>
      </w:r>
    </w:p>
    <w:p w:rsidR="0001344B" w:rsidRPr="002A67E5" w:rsidRDefault="008C6F2A" w:rsidP="00256DB0">
      <w:pPr>
        <w:spacing w:after="0"/>
        <w:rPr>
          <w:b/>
        </w:rPr>
      </w:pPr>
      <w:r>
        <w:rPr>
          <w:b/>
        </w:rPr>
        <w:t>REVIEW DATE:</w:t>
      </w:r>
      <w:r>
        <w:rPr>
          <w:b/>
        </w:rPr>
        <w:tab/>
      </w:r>
      <w:r>
        <w:rPr>
          <w:b/>
        </w:rPr>
        <w:tab/>
        <w:t>MAY 202</w:t>
      </w:r>
      <w:r w:rsidR="002262C8">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086806"/>
      <w:docPartObj>
        <w:docPartGallery w:val="Page Numbers (Bottom of Page)"/>
        <w:docPartUnique/>
      </w:docPartObj>
    </w:sdtPr>
    <w:sdtEndPr/>
    <w:sdtContent>
      <w:sdt>
        <w:sdtPr>
          <w:id w:val="-1769616900"/>
          <w:docPartObj>
            <w:docPartGallery w:val="Page Numbers (Top of Page)"/>
            <w:docPartUnique/>
          </w:docPartObj>
        </w:sdtPr>
        <w:sdtEndPr/>
        <w:sdtContent>
          <w:p w:rsidR="005942AD" w:rsidRDefault="005942A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C6F2A">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C6F2A">
              <w:rPr>
                <w:b/>
                <w:bCs/>
                <w:noProof/>
              </w:rPr>
              <w:t>7</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1E2D53"/>
    <w:rsid w:val="002262C8"/>
    <w:rsid w:val="00256DB0"/>
    <w:rsid w:val="002656A5"/>
    <w:rsid w:val="0027010B"/>
    <w:rsid w:val="002718E0"/>
    <w:rsid w:val="00274BB9"/>
    <w:rsid w:val="002815AB"/>
    <w:rsid w:val="002A67E5"/>
    <w:rsid w:val="002C1515"/>
    <w:rsid w:val="002E7332"/>
    <w:rsid w:val="00343A93"/>
    <w:rsid w:val="00390249"/>
    <w:rsid w:val="00390328"/>
    <w:rsid w:val="0039495E"/>
    <w:rsid w:val="004565F7"/>
    <w:rsid w:val="00464B19"/>
    <w:rsid w:val="0046583A"/>
    <w:rsid w:val="00475CAB"/>
    <w:rsid w:val="004D445E"/>
    <w:rsid w:val="00515BAD"/>
    <w:rsid w:val="00535CBF"/>
    <w:rsid w:val="005942AD"/>
    <w:rsid w:val="005C7051"/>
    <w:rsid w:val="006973C0"/>
    <w:rsid w:val="00791E41"/>
    <w:rsid w:val="007C3C9B"/>
    <w:rsid w:val="00800DAC"/>
    <w:rsid w:val="008260EB"/>
    <w:rsid w:val="008307EC"/>
    <w:rsid w:val="008A30F7"/>
    <w:rsid w:val="008A67C8"/>
    <w:rsid w:val="008C6F2A"/>
    <w:rsid w:val="008F5BD4"/>
    <w:rsid w:val="00911CE4"/>
    <w:rsid w:val="009245B5"/>
    <w:rsid w:val="00944AE2"/>
    <w:rsid w:val="00970D49"/>
    <w:rsid w:val="009C4AB9"/>
    <w:rsid w:val="00A2269E"/>
    <w:rsid w:val="00A7311A"/>
    <w:rsid w:val="00A77B4C"/>
    <w:rsid w:val="00A955E9"/>
    <w:rsid w:val="00AD09CC"/>
    <w:rsid w:val="00B00AF6"/>
    <w:rsid w:val="00CA0F7C"/>
    <w:rsid w:val="00DD51FC"/>
    <w:rsid w:val="00E33240"/>
    <w:rsid w:val="00EA25FC"/>
    <w:rsid w:val="00ED4F24"/>
    <w:rsid w:val="00EE7EB3"/>
    <w:rsid w:val="00F26D73"/>
    <w:rsid w:val="00F53DAD"/>
    <w:rsid w:val="00F55536"/>
    <w:rsid w:val="00F87F1B"/>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C402DF"/>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CF0A0-9BDD-4764-8436-D2D418A9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12</cp:revision>
  <cp:lastPrinted>2014-07-28T13:36:00Z</cp:lastPrinted>
  <dcterms:created xsi:type="dcterms:W3CDTF">2014-07-29T10:34:00Z</dcterms:created>
  <dcterms:modified xsi:type="dcterms:W3CDTF">2024-04-15T12:20:00Z</dcterms:modified>
</cp:coreProperties>
</file>